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研究报告</w:t>
      </w:r>
      <w:r>
        <w:rPr>
          <w:rFonts w:hint="eastAsia" w:asciiTheme="majorEastAsia" w:hAnsiTheme="majorEastAsia" w:eastAsiaTheme="majorEastAsia"/>
          <w:sz w:val="44"/>
          <w:szCs w:val="44"/>
        </w:rPr>
        <w:t>格式</w:t>
      </w:r>
    </w:p>
    <w:bookmarkEnd w:id="0"/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一</w:t>
      </w:r>
      <w:r>
        <w:rPr>
          <w:rStyle w:val="10"/>
          <w:rFonts w:eastAsia="黑体"/>
          <w:sz w:val="32"/>
          <w:szCs w:val="32"/>
        </w:rPr>
        <w:t>、基本要求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为便于排版，</w:t>
      </w:r>
      <w:r>
        <w:rPr>
          <w:rFonts w:ascii="仿宋_GB2312" w:eastAsia="仿宋_GB2312"/>
          <w:sz w:val="32"/>
          <w:szCs w:val="32"/>
        </w:rPr>
        <w:t>正文内容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Word版本录入。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二</w:t>
      </w:r>
      <w:r>
        <w:rPr>
          <w:rStyle w:val="10"/>
          <w:rFonts w:eastAsia="黑体"/>
          <w:sz w:val="32"/>
          <w:szCs w:val="32"/>
        </w:rPr>
        <w:t>、</w:t>
      </w:r>
      <w:r>
        <w:rPr>
          <w:rStyle w:val="10"/>
          <w:rFonts w:hint="eastAsia" w:eastAsia="黑体"/>
          <w:sz w:val="32"/>
          <w:szCs w:val="32"/>
        </w:rPr>
        <w:t>标题</w:t>
      </w:r>
      <w:r>
        <w:rPr>
          <w:rStyle w:val="10"/>
          <w:rFonts w:eastAsia="黑体"/>
          <w:sz w:val="32"/>
          <w:szCs w:val="32"/>
        </w:rPr>
        <w:t>和摘要</w:t>
      </w:r>
    </w:p>
    <w:p>
      <w:pPr>
        <w:spacing w:before="156" w:beforeLines="50"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研究报告</w:t>
      </w:r>
      <w:r>
        <w:rPr>
          <w:rFonts w:hint="eastAsia" w:ascii="仿宋_GB2312" w:eastAsia="仿宋_GB2312"/>
          <w:sz w:val="32"/>
          <w:szCs w:val="32"/>
        </w:rPr>
        <w:t>标题（二号黑体）</w:t>
      </w:r>
    </w:p>
    <w:p>
      <w:pPr>
        <w:spacing w:before="156" w:beforeLines="50"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副标题（三号宋体）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作者姓名（四号黑体）             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内容摘要（小四号黑体）：内容在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00字左右（小四号楷体_GB2312）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关键词（小四号黑体）：3～5个，每个之间用“;”隔开（小四号楷体_GB2312）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三</w:t>
      </w:r>
      <w:r>
        <w:rPr>
          <w:rStyle w:val="10"/>
          <w:rFonts w:eastAsia="黑体"/>
          <w:sz w:val="32"/>
          <w:szCs w:val="32"/>
        </w:rPr>
        <w:t>、正文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正文字号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小四号</w:t>
      </w:r>
      <w:r>
        <w:rPr>
          <w:rFonts w:ascii="仿宋_GB2312" w:eastAsia="仿宋_GB2312"/>
          <w:sz w:val="32"/>
          <w:szCs w:val="32"/>
        </w:rPr>
        <w:t>宋体，首行缩进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字符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行间距为</w:t>
      </w:r>
      <w:r>
        <w:rPr>
          <w:rFonts w:hint="eastAsia" w:ascii="仿宋_GB2312" w:eastAsia="仿宋_GB2312"/>
          <w:sz w:val="32"/>
          <w:szCs w:val="32"/>
        </w:rPr>
        <w:t>20。</w:t>
      </w:r>
    </w:p>
    <w:p>
      <w:pPr>
        <w:spacing w:before="156" w:beforeLines="50" w:line="4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（一）标题</w:t>
      </w:r>
      <w:r>
        <w:rPr>
          <w:rFonts w:ascii="楷体" w:hAnsi="楷体" w:eastAsia="楷体"/>
          <w:sz w:val="32"/>
          <w:szCs w:val="32"/>
        </w:rPr>
        <w:t>和序号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文中</w:t>
      </w:r>
      <w:r>
        <w:rPr>
          <w:rFonts w:ascii="仿宋_GB2312" w:eastAsia="仿宋_GB2312"/>
          <w:sz w:val="32"/>
          <w:szCs w:val="32"/>
        </w:rPr>
        <w:t>标题序号</w:t>
      </w:r>
      <w:r>
        <w:rPr>
          <w:rFonts w:hint="eastAsia" w:ascii="仿宋_GB2312" w:eastAsia="仿宋_GB2312"/>
          <w:sz w:val="32"/>
          <w:szCs w:val="32"/>
        </w:rPr>
        <w:t>按“一、”“（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）”“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”“（1）”“</w:t>
      </w:r>
      <w:r>
        <w:rPr>
          <w:rFonts w:ascii="仿宋_GB2312" w:eastAsia="仿宋_GB2312"/>
          <w:sz w:val="32"/>
          <w:szCs w:val="32"/>
        </w:rPr>
        <w:t>第一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首先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顺序排列，一般不用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，以区分脚注</w:t>
      </w:r>
      <w:r>
        <w:rPr>
          <w:rFonts w:ascii="仿宋_GB2312" w:eastAsia="仿宋_GB2312"/>
          <w:sz w:val="32"/>
          <w:szCs w:val="32"/>
        </w:rPr>
        <w:t>。根据文章叙述层次，不需要全用时，可适当减少，但不可反顺序使用。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后加</w:t>
      </w:r>
      <w:r>
        <w:rPr>
          <w:rFonts w:hint="eastAsia" w:ascii="仿宋_GB2312" w:eastAsia="仿宋_GB2312"/>
          <w:sz w:val="32"/>
          <w:szCs w:val="32"/>
        </w:rPr>
        <w:t>“.”；（</w:t>
      </w:r>
      <w:r>
        <w:rPr>
          <w:rFonts w:ascii="仿宋_GB2312" w:eastAsia="仿宋_GB2312"/>
          <w:sz w:val="32"/>
          <w:szCs w:val="32"/>
        </w:rPr>
        <w:t>一）、（1）不加任何标点，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第一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首先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后面均要加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号。</w:t>
      </w:r>
    </w:p>
    <w:p>
      <w:pPr>
        <w:spacing w:before="156" w:beforeLines="50"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一级目录采用四号黑体，居左，</w:t>
      </w:r>
      <w:r>
        <w:rPr>
          <w:rFonts w:ascii="仿宋_GB2312" w:eastAsia="仿宋_GB2312"/>
          <w:sz w:val="32"/>
          <w:szCs w:val="32"/>
        </w:rPr>
        <w:t>缩进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字符</w:t>
      </w:r>
      <w:r>
        <w:rPr>
          <w:rFonts w:hint="eastAsia" w:ascii="仿宋_GB2312" w:eastAsia="仿宋_GB2312"/>
          <w:sz w:val="32"/>
          <w:szCs w:val="32"/>
        </w:rPr>
        <w:t>。其他标题一律采用小</w:t>
      </w:r>
      <w:r>
        <w:rPr>
          <w:rFonts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号宋体。例如：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一、一级标题（四号黑体）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（二）二级标题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.三级标题。</w:t>
      </w:r>
    </w:p>
    <w:p>
      <w:pPr>
        <w:spacing w:line="4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）四级标题。</w:t>
      </w:r>
    </w:p>
    <w:p>
      <w:pPr>
        <w:spacing w:line="4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（二）图表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（1）若稿件中含有图表，请用计算机制作相关内容，并保证其中的符号、数字、文字、图线清晰、规范。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（2）表格序号用表1、表2等表示。表格标题（五号黑体）置于表格上方；表格中的内容一般情况下为小五号宋体字。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（3）图序号用图1、图2等表示，图标题（五号黑体）置于图下方。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（4）图表中的内容尽量采用中文表示。</w:t>
      </w:r>
    </w:p>
    <w:p>
      <w:pPr>
        <w:widowControl/>
        <w:spacing w:line="400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（5）如有注释（六号宋体），在图标下方说明。</w:t>
      </w:r>
    </w:p>
    <w:p>
      <w:pPr>
        <w:adjustRightInd w:val="0"/>
        <w:snapToGrid w:val="0"/>
        <w:spacing w:line="247" w:lineRule="auto"/>
        <w:ind w:firstLine="735" w:firstLineChars="350"/>
        <w:rPr>
          <w:rFonts w:hAnsi="黑体" w:eastAsia="黑体"/>
          <w:szCs w:val="21"/>
        </w:rPr>
      </w:pPr>
      <w:r>
        <w:rPr>
          <w:rFonts w:hAnsi="黑体" w:eastAsia="黑体"/>
          <w:szCs w:val="21"/>
        </w:rPr>
        <w:t>表</w:t>
      </w:r>
      <w:r>
        <w:rPr>
          <w:rFonts w:eastAsia="黑体"/>
          <w:szCs w:val="21"/>
        </w:rPr>
        <w:t xml:space="preserve">1  </w:t>
      </w:r>
      <w:r>
        <w:rPr>
          <w:rFonts w:hint="eastAsia" w:eastAsia="黑体"/>
          <w:szCs w:val="21"/>
        </w:rPr>
        <w:t xml:space="preserve">       </w:t>
      </w:r>
      <w:r>
        <w:rPr>
          <w:rFonts w:eastAsia="黑体"/>
          <w:szCs w:val="21"/>
        </w:rPr>
        <w:t xml:space="preserve">               </w:t>
      </w:r>
      <w:r>
        <w:rPr>
          <w:rFonts w:hint="eastAsia" w:eastAsia="黑体"/>
          <w:szCs w:val="21"/>
        </w:rPr>
        <w:t xml:space="preserve">  </w:t>
      </w:r>
      <w:r>
        <w:rPr>
          <w:rFonts w:hAnsi="黑体" w:eastAsia="黑体"/>
          <w:szCs w:val="21"/>
        </w:rPr>
        <w:t>回归结果</w:t>
      </w:r>
    </w:p>
    <w:tbl>
      <w:tblPr>
        <w:tblStyle w:val="3"/>
        <w:tblW w:w="78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5"/>
        <w:gridCol w:w="1006"/>
        <w:gridCol w:w="968"/>
        <w:gridCol w:w="1266"/>
        <w:gridCol w:w="1012"/>
        <w:gridCol w:w="1278"/>
        <w:gridCol w:w="106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vMerge w:val="restart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变量</w:t>
            </w:r>
          </w:p>
        </w:tc>
        <w:tc>
          <w:tcPr>
            <w:tcW w:w="197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固定效应模型</w:t>
            </w:r>
          </w:p>
        </w:tc>
        <w:tc>
          <w:tcPr>
            <w:tcW w:w="227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随机效应模型</w:t>
            </w:r>
          </w:p>
        </w:tc>
        <w:tc>
          <w:tcPr>
            <w:tcW w:w="2341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工具固定效应模型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估计系数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标准差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企业科研投入</w:t>
            </w:r>
          </w:p>
        </w:tc>
        <w:tc>
          <w:tcPr>
            <w:tcW w:w="1006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0.1137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0.0442</w:t>
            </w:r>
          </w:p>
        </w:tc>
        <w:tc>
          <w:tcPr>
            <w:tcW w:w="1266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0.1201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0.0409</w:t>
            </w:r>
          </w:p>
        </w:tc>
        <w:tc>
          <w:tcPr>
            <w:tcW w:w="1278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0.0842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政府补贴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0.3352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0.0750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0.4376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0.0634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0.2801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企业规模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0.3203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0.0807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0.2931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0.0661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0.2120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科研人员数量</w:t>
            </w:r>
          </w:p>
        </w:tc>
        <w:tc>
          <w:tcPr>
            <w:tcW w:w="100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0.0922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0.0211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0.0323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0.0134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截距</w:t>
            </w:r>
          </w:p>
        </w:tc>
        <w:tc>
          <w:tcPr>
            <w:tcW w:w="1006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4.5021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1.2978</w:t>
            </w:r>
          </w:p>
        </w:tc>
        <w:tc>
          <w:tcPr>
            <w:tcW w:w="126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3.2620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1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1.0285</w:t>
            </w:r>
          </w:p>
        </w:tc>
        <w:tc>
          <w:tcPr>
            <w:tcW w:w="12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0.1213</w:t>
            </w:r>
            <w:r>
              <w:rPr>
                <w:rFonts w:asciiTheme="minorEastAsia" w:hAnsiTheme="minor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0.0489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12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position w:val="-6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目标值</w:t>
            </w:r>
          </w:p>
          <w:p>
            <w:pPr>
              <w:adjustRightInd w:val="0"/>
              <w:snapToGrid w:val="0"/>
              <w:spacing w:line="24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position w:val="-10"/>
                <w:sz w:val="18"/>
                <w:szCs w:val="18"/>
              </w:rPr>
              <w:t>调整</w:t>
            </w:r>
            <w:r>
              <w:rPr>
                <w:rFonts w:hint="eastAsia" w:asciiTheme="minorEastAsia" w:hAnsiTheme="minorEastAsia"/>
                <w:i/>
                <w:position w:val="-10"/>
                <w:sz w:val="18"/>
                <w:szCs w:val="18"/>
              </w:rPr>
              <w:t>R</w:t>
            </w:r>
            <w:r>
              <w:rPr>
                <w:rFonts w:hint="eastAsia" w:asciiTheme="minorEastAsia" w:hAnsiTheme="minorEastAsia"/>
                <w:position w:val="-1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7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531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0.3242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531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0.3899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472</w:t>
            </w:r>
          </w:p>
          <w:p>
            <w:pPr>
              <w:adjustRightInd w:val="0"/>
              <w:snapToGrid w:val="0"/>
              <w:spacing w:line="247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0.4046</w:t>
            </w:r>
          </w:p>
        </w:tc>
      </w:tr>
    </w:tbl>
    <w:p>
      <w:pPr>
        <w:adjustRightInd w:val="0"/>
        <w:snapToGrid w:val="0"/>
        <w:spacing w:line="247" w:lineRule="auto"/>
        <w:ind w:firstLine="945" w:firstLineChars="450"/>
        <w:rPr>
          <w:rFonts w:eastAsia="方正细黑一简体"/>
          <w:szCs w:val="15"/>
        </w:rPr>
      </w:pPr>
      <w:r>
        <w:rPr>
          <w:rFonts w:eastAsia="方正细黑一简体"/>
          <w:szCs w:val="15"/>
        </w:rPr>
        <w:t>注：***、**、*分别表示1%、5%和10%的显著性水平</w:t>
      </w:r>
      <w:r>
        <w:rPr>
          <w:rFonts w:hint="eastAsia" w:eastAsia="方正细黑一简体"/>
          <w:szCs w:val="15"/>
        </w:rPr>
        <w:t>。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</w:p>
    <w:p>
      <w:pPr>
        <w:snapToGrid w:val="0"/>
        <w:spacing w:after="93" w:afterLines="30" w:line="245" w:lineRule="auto"/>
        <w:jc w:val="center"/>
      </w:pPr>
      <w:r>
        <w:drawing>
          <wp:inline distT="0" distB="0" distL="0" distR="0">
            <wp:extent cx="4305300" cy="2209800"/>
            <wp:effectExtent l="0" t="0" r="0" b="0"/>
            <wp:docPr id="1" name="图片 1" descr="赵志龙-图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赵志龙-图6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45" w:lineRule="auto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图2  2015年2月</w:t>
      </w:r>
      <w:r>
        <w:rPr>
          <w:rFonts w:hint="eastAsia" w:ascii="黑体" w:hAnsi="黑体" w:eastAsia="黑体"/>
          <w:szCs w:val="21"/>
        </w:rPr>
        <w:t>至</w:t>
      </w:r>
      <w:r>
        <w:rPr>
          <w:rFonts w:ascii="黑体" w:hAnsi="黑体" w:eastAsia="黑体"/>
          <w:szCs w:val="21"/>
        </w:rPr>
        <w:t>12月移动电话价格环比走势图</w:t>
      </w:r>
    </w:p>
    <w:p>
      <w:pPr>
        <w:ind w:firstLine="420" w:firstLineChars="200"/>
        <w:rPr>
          <w:color w:val="000000"/>
        </w:rPr>
      </w:pPr>
    </w:p>
    <w:p>
      <w:pPr>
        <w:spacing w:before="312" w:beforeLines="100" w:line="4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</w:t>
      </w:r>
      <w:r>
        <w:rPr>
          <w:rFonts w:ascii="楷体" w:hAnsi="楷体" w:eastAsia="楷体"/>
          <w:color w:val="000000"/>
          <w:sz w:val="32"/>
          <w:szCs w:val="32"/>
        </w:rPr>
        <w:t>公式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文中公式尽量</w:t>
      </w:r>
      <w:r>
        <w:rPr>
          <w:rFonts w:ascii="仿宋_GB2312" w:eastAsia="仿宋_GB2312"/>
          <w:sz w:val="32"/>
          <w:szCs w:val="32"/>
        </w:rPr>
        <w:t>使用word自带的公式编辑器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MathType</w:t>
      </w:r>
      <w:r>
        <w:rPr>
          <w:rFonts w:hint="eastAsia" w:ascii="仿宋_GB2312" w:eastAsia="仿宋_GB2312"/>
          <w:sz w:val="32"/>
          <w:szCs w:val="32"/>
        </w:rPr>
        <w:t>等，</w:t>
      </w:r>
      <w:r>
        <w:rPr>
          <w:rFonts w:ascii="仿宋_GB2312" w:eastAsia="仿宋_GB2312"/>
          <w:sz w:val="32"/>
          <w:szCs w:val="32"/>
        </w:rPr>
        <w:t>字体为</w:t>
      </w:r>
      <w:r>
        <w:rPr>
          <w:rFonts w:hint="eastAsia" w:ascii="仿宋_GB2312" w:eastAsia="仿宋_GB2312"/>
          <w:sz w:val="32"/>
          <w:szCs w:val="32"/>
        </w:rPr>
        <w:t>斜体，</w:t>
      </w:r>
      <w:r>
        <w:rPr>
          <w:rFonts w:ascii="仿宋_GB2312" w:eastAsia="仿宋_GB2312"/>
          <w:sz w:val="32"/>
          <w:szCs w:val="32"/>
        </w:rPr>
        <w:t>全文统一。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（四）脚注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脚注以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③……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表示，仅在当页连续排序</w:t>
      </w:r>
      <w:r>
        <w:rPr>
          <w:rFonts w:hint="eastAsia" w:ascii="仿宋_GB2312" w:eastAsia="仿宋_GB2312"/>
          <w:sz w:val="32"/>
          <w:szCs w:val="32"/>
        </w:rPr>
        <w:t>，每页重新编号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脚注中有文献引用的，应参照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参考文献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的体例编排。</w:t>
      </w:r>
    </w:p>
    <w:p>
      <w:pPr>
        <w:spacing w:before="156" w:beforeLines="50" w:line="400" w:lineRule="exact"/>
        <w:ind w:firstLine="640" w:firstLineChars="200"/>
        <w:rPr>
          <w:rStyle w:val="10"/>
          <w:rFonts w:eastAsia="黑体"/>
          <w:sz w:val="32"/>
          <w:szCs w:val="32"/>
        </w:rPr>
      </w:pPr>
      <w:r>
        <w:rPr>
          <w:rStyle w:val="10"/>
          <w:rFonts w:hint="eastAsia" w:eastAsia="黑体"/>
          <w:sz w:val="32"/>
          <w:szCs w:val="32"/>
        </w:rPr>
        <w:t>四</w:t>
      </w:r>
      <w:r>
        <w:rPr>
          <w:rStyle w:val="10"/>
          <w:rFonts w:eastAsia="黑体"/>
          <w:sz w:val="32"/>
          <w:szCs w:val="32"/>
        </w:rPr>
        <w:t>、参考文献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参考</w:t>
      </w:r>
      <w:r>
        <w:rPr>
          <w:rFonts w:ascii="仿宋_GB2312" w:eastAsia="仿宋_GB2312"/>
          <w:sz w:val="32"/>
          <w:szCs w:val="32"/>
        </w:rPr>
        <w:t>文献</w:t>
      </w:r>
      <w:r>
        <w:rPr>
          <w:rFonts w:hint="eastAsia" w:ascii="仿宋_GB2312" w:eastAsia="仿宋_GB2312"/>
          <w:sz w:val="32"/>
          <w:szCs w:val="32"/>
        </w:rPr>
        <w:t>位置</w:t>
      </w:r>
      <w:r>
        <w:rPr>
          <w:rFonts w:ascii="仿宋_GB2312" w:eastAsia="仿宋_GB2312"/>
          <w:sz w:val="32"/>
          <w:szCs w:val="32"/>
        </w:rPr>
        <w:t>：列于全文最后。</w:t>
      </w:r>
      <w:r>
        <w:rPr>
          <w:rFonts w:hint="eastAsia" w:ascii="仿宋_GB2312" w:eastAsia="仿宋_GB2312"/>
          <w:sz w:val="32"/>
          <w:szCs w:val="32"/>
        </w:rPr>
        <w:t>若文章</w:t>
      </w:r>
      <w:r>
        <w:rPr>
          <w:rFonts w:ascii="仿宋_GB2312" w:eastAsia="仿宋_GB2312"/>
          <w:sz w:val="32"/>
          <w:szCs w:val="32"/>
        </w:rPr>
        <w:t>有附录，</w:t>
      </w:r>
      <w:r>
        <w:rPr>
          <w:rFonts w:hint="eastAsia" w:ascii="仿宋_GB2312" w:eastAsia="仿宋_GB2312"/>
          <w:sz w:val="32"/>
          <w:szCs w:val="32"/>
        </w:rPr>
        <w:t>放</w:t>
      </w:r>
      <w:r>
        <w:rPr>
          <w:rFonts w:ascii="仿宋_GB2312" w:eastAsia="仿宋_GB2312"/>
          <w:sz w:val="32"/>
          <w:szCs w:val="32"/>
        </w:rPr>
        <w:t>在参考文献前面。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2.参考文献数量：</w:t>
      </w: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版面有限，参考文献</w:t>
      </w:r>
      <w:r>
        <w:rPr>
          <w:rFonts w:hint="eastAsia" w:ascii="仿宋_GB2312" w:eastAsia="仿宋_GB2312"/>
          <w:sz w:val="32"/>
          <w:szCs w:val="32"/>
        </w:rPr>
        <w:t>原则</w:t>
      </w:r>
      <w:r>
        <w:rPr>
          <w:rFonts w:ascii="仿宋_GB2312" w:eastAsia="仿宋_GB2312"/>
          <w:sz w:val="32"/>
          <w:szCs w:val="32"/>
        </w:rPr>
        <w:t>上不超过20</w:t>
      </w:r>
      <w:r>
        <w:rPr>
          <w:rFonts w:hint="eastAsia" w:ascii="仿宋_GB2312" w:eastAsia="仿宋_GB2312"/>
          <w:sz w:val="32"/>
          <w:szCs w:val="32"/>
        </w:rPr>
        <w:t>个（</w:t>
      </w:r>
      <w:r>
        <w:rPr>
          <w:rFonts w:ascii="仿宋_GB2312" w:eastAsia="仿宋_GB2312"/>
          <w:sz w:val="32"/>
          <w:szCs w:val="32"/>
        </w:rPr>
        <w:t>正文中引用或提到的文献，必须在参考文献中保留）。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3.参考文献排序方法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方法1：按照</w:t>
      </w:r>
      <w:r>
        <w:rPr>
          <w:rFonts w:ascii="仿宋_GB2312" w:eastAsia="仿宋_GB2312"/>
          <w:sz w:val="32"/>
          <w:szCs w:val="32"/>
        </w:rPr>
        <w:t>文献在</w:t>
      </w:r>
      <w:r>
        <w:rPr>
          <w:rFonts w:hint="eastAsia" w:ascii="仿宋_GB2312" w:eastAsia="仿宋_GB2312"/>
          <w:sz w:val="32"/>
          <w:szCs w:val="32"/>
        </w:rPr>
        <w:t>文中出现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顺序排列。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中文文献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作者姓氏拼音第一个字母排序。外文文献按作者姓氏第一个字母排序。同时有中文文献和外文文献时，中文文献</w:t>
      </w:r>
      <w:r>
        <w:rPr>
          <w:rFonts w:hint="eastAsia" w:ascii="仿宋_GB2312" w:eastAsia="仿宋_GB2312"/>
          <w:sz w:val="32"/>
          <w:szCs w:val="32"/>
        </w:rPr>
        <w:t>排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ascii="仿宋_GB2312" w:eastAsia="仿宋_GB2312"/>
          <w:sz w:val="32"/>
          <w:szCs w:val="32"/>
        </w:rPr>
        <w:t>外文文献</w:t>
      </w:r>
      <w:r>
        <w:rPr>
          <w:rFonts w:hint="eastAsia" w:ascii="仿宋_GB2312" w:eastAsia="仿宋_GB2312"/>
          <w:sz w:val="32"/>
          <w:szCs w:val="32"/>
        </w:rPr>
        <w:t>在后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4.参考文献标题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采用</w:t>
      </w:r>
      <w:r>
        <w:rPr>
          <w:rFonts w:hint="eastAsia" w:ascii="仿宋_GB2312" w:eastAsia="仿宋_GB2312"/>
          <w:sz w:val="32"/>
          <w:szCs w:val="32"/>
        </w:rPr>
        <w:t>5号</w:t>
      </w:r>
      <w:r>
        <w:rPr>
          <w:rFonts w:ascii="仿宋_GB2312" w:eastAsia="仿宋_GB2312"/>
          <w:sz w:val="32"/>
          <w:szCs w:val="32"/>
        </w:rPr>
        <w:t>黑体</w:t>
      </w:r>
      <w:r>
        <w:rPr>
          <w:rFonts w:hint="eastAsia" w:ascii="仿宋_GB2312" w:eastAsia="仿宋_GB2312"/>
          <w:sz w:val="32"/>
          <w:szCs w:val="32"/>
        </w:rPr>
        <w:t>。中文文献，采用五号宋体；英文文献采用五号Times New Roman。</w:t>
      </w:r>
    </w:p>
    <w:p>
      <w:pPr>
        <w:snapToGrid w:val="0"/>
        <w:spacing w:line="400" w:lineRule="exact"/>
        <w:ind w:firstLine="57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示例：</w:t>
      </w:r>
    </w:p>
    <w:p>
      <w:pPr>
        <w:spacing w:line="400" w:lineRule="exact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参考文献</w:t>
      </w:r>
    </w:p>
    <w:p>
      <w:pPr>
        <w:spacing w:line="400" w:lineRule="exac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[1]刘厚俊．现代西方经济学原理［M］．3版．南京：南京大学出版社，2002：17-19．</w:t>
      </w:r>
    </w:p>
    <w:p>
      <w:pPr>
        <w:spacing w:line="400" w:lineRule="exac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[2]约翰斯顿．计量经济学方法［M］．唐齐名，译．4版．北京：中国经济出版社，2002：37-40．</w:t>
      </w:r>
    </w:p>
    <w:p>
      <w:pPr>
        <w:spacing w:line="40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[3]刘凤朝,徐茜,韩姝颖,等.全球创新资源的分布特征与空间差异——基于</w:t>
      </w:r>
      <w:r>
        <w:rPr>
          <w:rFonts w:asciiTheme="minorEastAsia" w:hAnsiTheme="minorEastAsia"/>
          <w:color w:val="000000"/>
          <w:szCs w:val="21"/>
        </w:rPr>
        <w:t>OECD</w:t>
      </w:r>
      <w:r>
        <w:rPr>
          <w:rFonts w:hint="eastAsia" w:asciiTheme="minorEastAsia" w:hAnsiTheme="minorEastAsia"/>
          <w:color w:val="000000"/>
          <w:szCs w:val="21"/>
        </w:rPr>
        <w:t>数据的分析[J].研究与发展管理，</w:t>
      </w:r>
      <w:r>
        <w:rPr>
          <w:rFonts w:ascii="Times New Roman" w:hAnsi="Times New Roman" w:cs="Times New Roman"/>
          <w:color w:val="000000"/>
          <w:szCs w:val="21"/>
        </w:rPr>
        <w:t>2011，23（1）:11-16.</w:t>
      </w:r>
    </w:p>
    <w:p>
      <w:pPr>
        <w:spacing w:line="40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[4]Lessler J T, Kalsbeek W D.NonSampling Error in Surveys[M].4th ed.New York:John Wiley &amp; Sons,1992.</w:t>
      </w:r>
    </w:p>
    <w:p>
      <w:pPr>
        <w:spacing w:line="400" w:lineRule="exact"/>
        <w:ind w:firstLine="480" w:firstLineChars="200"/>
        <w:rPr>
          <w:rFonts w:asciiTheme="minorEastAsia" w:hAnsiTheme="minorEastAsia"/>
          <w:color w:val="000000"/>
          <w:sz w:val="24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93"/>
    <w:rsid w:val="000666E1"/>
    <w:rsid w:val="0023773E"/>
    <w:rsid w:val="002C0973"/>
    <w:rsid w:val="00326E57"/>
    <w:rsid w:val="0039317D"/>
    <w:rsid w:val="003C0D75"/>
    <w:rsid w:val="003D53CB"/>
    <w:rsid w:val="00590B5A"/>
    <w:rsid w:val="005A2D22"/>
    <w:rsid w:val="00762370"/>
    <w:rsid w:val="007D4C52"/>
    <w:rsid w:val="009F2193"/>
    <w:rsid w:val="00BA03B7"/>
    <w:rsid w:val="00D31E8E"/>
    <w:rsid w:val="00DB6431"/>
    <w:rsid w:val="00E26D91"/>
    <w:rsid w:val="00E35809"/>
    <w:rsid w:val="00E92D45"/>
    <w:rsid w:val="00F00519"/>
    <w:rsid w:val="5F79FCAF"/>
    <w:rsid w:val="6A887BCE"/>
    <w:rsid w:val="78F2281B"/>
    <w:rsid w:val="7E9DD746"/>
    <w:rsid w:val="EB8F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styleId="6">
    <w:name w:val="footnote reference"/>
    <w:semiHidden/>
    <w:qFormat/>
    <w:uiPriority w:val="0"/>
    <w:rPr>
      <w:vertAlign w:val="superscript"/>
    </w:rPr>
  </w:style>
  <w:style w:type="character" w:customStyle="1" w:styleId="7">
    <w:name w:val="timestyle18183"/>
    <w:basedOn w:val="4"/>
    <w:qFormat/>
    <w:uiPriority w:val="0"/>
  </w:style>
  <w:style w:type="character" w:customStyle="1" w:styleId="8">
    <w:name w:val="authorstyle18183"/>
    <w:basedOn w:val="4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ews1"/>
    <w:qFormat/>
    <w:uiPriority w:val="0"/>
    <w:rPr>
      <w:sz w:val="21"/>
      <w:szCs w:val="21"/>
    </w:rPr>
  </w:style>
  <w:style w:type="character" w:customStyle="1" w:styleId="11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408</Words>
  <Characters>2330</Characters>
  <Lines>19</Lines>
  <Paragraphs>5</Paragraphs>
  <TotalTime>288</TotalTime>
  <ScaleCrop>false</ScaleCrop>
  <LinksUpToDate>false</LinksUpToDate>
  <CharactersWithSpaces>2733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2021-08-13T19:16:00Z</dcterms:created>
  <dc:creator>tjj</dc:creator>
  <cp:lastModifiedBy>tjj</cp:lastModifiedBy>
  <dcterms:modified xsi:type="dcterms:W3CDTF">2025-12-02T09:07:25Z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A9439E6C8B812F5F0FF72C6919F61767</vt:lpwstr>
  </property>
</Properties>
</file>