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75" w:afterAutospacing="0" w:line="500" w:lineRule="exact"/>
        <w:ind w:left="0" w:right="0" w:firstLine="0"/>
        <w:jc w:val="both"/>
        <w:textAlignment w:val="auto"/>
        <w:rPr>
          <w:rFonts w:hint="eastAsia" w:ascii="黑体" w:hAnsi="黑体" w:eastAsia="黑体" w:cs="黑体"/>
          <w:i w:val="0"/>
          <w:caps w:val="0"/>
          <w:color w:val="000000"/>
          <w:spacing w:val="0"/>
          <w:kern w:val="0"/>
          <w:sz w:val="44"/>
          <w:szCs w:val="44"/>
          <w:lang w:val="en-US" w:eastAsia="zh-CN" w:bidi="ar"/>
        </w:rPr>
      </w:pPr>
      <w:r>
        <w:rPr>
          <w:rFonts w:hint="eastAsia" w:ascii="黑体" w:hAnsi="黑体" w:eastAsia="黑体" w:cs="黑体"/>
          <w:i w:val="0"/>
          <w:caps w:val="0"/>
          <w:color w:val="000000"/>
          <w:spacing w:val="0"/>
          <w:kern w:val="0"/>
          <w:sz w:val="44"/>
          <w:szCs w:val="44"/>
          <w:lang w:val="en-US" w:eastAsia="zh-CN" w:bidi="ar"/>
        </w:rPr>
        <w:t>内蒙古自治区统计局2021年政府信息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75" w:afterAutospacing="0" w:line="500" w:lineRule="exact"/>
        <w:ind w:left="0" w:right="0" w:firstLine="0"/>
        <w:jc w:val="center"/>
        <w:textAlignment w:val="auto"/>
        <w:rPr>
          <w:rFonts w:hint="eastAsia" w:ascii="黑体" w:hAnsi="黑体" w:eastAsia="黑体" w:cs="黑体"/>
          <w:i w:val="0"/>
          <w:caps w:val="0"/>
          <w:color w:val="000000"/>
          <w:spacing w:val="0"/>
          <w:kern w:val="0"/>
          <w:sz w:val="44"/>
          <w:szCs w:val="44"/>
          <w:lang w:val="en-US" w:eastAsia="zh-CN" w:bidi="ar"/>
        </w:rPr>
      </w:pPr>
      <w:r>
        <w:rPr>
          <w:rFonts w:hint="eastAsia" w:ascii="黑体" w:hAnsi="黑体" w:eastAsia="黑体" w:cs="黑体"/>
          <w:i w:val="0"/>
          <w:caps w:val="0"/>
          <w:color w:val="000000"/>
          <w:spacing w:val="0"/>
          <w:kern w:val="0"/>
          <w:sz w:val="44"/>
          <w:szCs w:val="44"/>
          <w:lang w:val="en-US" w:eastAsia="zh-CN" w:bidi="ar"/>
        </w:rPr>
        <w:t>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本年度报告根据《中华人民共和国政府信息公开条例》（以下简称《条例》）要求，由自治区统计局围绕202</w:t>
      </w:r>
      <w:r>
        <w:rPr>
          <w:rFonts w:hint="eastAsia" w:ascii="仿宋" w:hAnsi="仿宋" w:eastAsia="仿宋" w:cs="仿宋"/>
          <w:i w:val="0"/>
          <w:caps w:val="0"/>
          <w:color w:val="333333"/>
          <w:spacing w:val="0"/>
          <w:sz w:val="32"/>
          <w:szCs w:val="32"/>
          <w:lang w:val="en-US" w:eastAsia="zh-CN"/>
        </w:rPr>
        <w:t>1</w:t>
      </w:r>
      <w:r>
        <w:rPr>
          <w:rFonts w:hint="eastAsia" w:ascii="仿宋" w:hAnsi="仿宋" w:eastAsia="仿宋" w:cs="仿宋"/>
          <w:i w:val="0"/>
          <w:caps w:val="0"/>
          <w:color w:val="333333"/>
          <w:spacing w:val="0"/>
          <w:sz w:val="32"/>
          <w:szCs w:val="32"/>
        </w:rPr>
        <w:t>年度政府信息公开工作情况编制而成。全文包括政务公开工作总体情况，主动公开政府信息情况，收到和处理政府信息公开申请情况，政府信息公开行政复议、行政诉讼情况，存在的主要问题及改进情况，其他需要报告的事项等六部分，并附统计表。本报告所列数据的统计期限为202</w:t>
      </w:r>
      <w:r>
        <w:rPr>
          <w:rFonts w:hint="eastAsia" w:ascii="仿宋" w:hAnsi="仿宋" w:eastAsia="仿宋" w:cs="仿宋"/>
          <w:i w:val="0"/>
          <w:caps w:val="0"/>
          <w:color w:val="333333"/>
          <w:spacing w:val="0"/>
          <w:sz w:val="32"/>
          <w:szCs w:val="32"/>
          <w:lang w:val="en-US" w:eastAsia="zh-CN"/>
        </w:rPr>
        <w:t>1</w:t>
      </w:r>
      <w:r>
        <w:rPr>
          <w:rFonts w:hint="eastAsia" w:ascii="仿宋" w:hAnsi="仿宋" w:eastAsia="仿宋" w:cs="仿宋"/>
          <w:i w:val="0"/>
          <w:caps w:val="0"/>
          <w:color w:val="333333"/>
          <w:spacing w:val="0"/>
          <w:sz w:val="32"/>
          <w:szCs w:val="32"/>
        </w:rPr>
        <w:t>年1月1日至202</w:t>
      </w:r>
      <w:r>
        <w:rPr>
          <w:rFonts w:hint="eastAsia" w:ascii="仿宋" w:hAnsi="仿宋" w:eastAsia="仿宋" w:cs="仿宋"/>
          <w:i w:val="0"/>
          <w:caps w:val="0"/>
          <w:color w:val="333333"/>
          <w:spacing w:val="0"/>
          <w:sz w:val="32"/>
          <w:szCs w:val="32"/>
          <w:lang w:val="en-US" w:eastAsia="zh-CN"/>
        </w:rPr>
        <w:t>1</w:t>
      </w:r>
      <w:r>
        <w:rPr>
          <w:rFonts w:hint="eastAsia" w:ascii="仿宋" w:hAnsi="仿宋" w:eastAsia="仿宋" w:cs="仿宋"/>
          <w:i w:val="0"/>
          <w:caps w:val="0"/>
          <w:color w:val="333333"/>
          <w:spacing w:val="0"/>
          <w:sz w:val="32"/>
          <w:szCs w:val="32"/>
        </w:rPr>
        <w:t>年12月31日。本年度报告电子版可以从内蒙古自治区统计局门户网站（http://tj.nmg.gov.cn/）</w:t>
      </w:r>
      <w:r>
        <w:rPr>
          <w:rFonts w:hint="eastAsia" w:ascii="仿宋" w:hAnsi="仿宋" w:eastAsia="仿宋" w:cs="仿宋"/>
          <w:i w:val="0"/>
          <w:caps w:val="0"/>
          <w:color w:val="333333"/>
          <w:spacing w:val="0"/>
          <w:sz w:val="32"/>
          <w:szCs w:val="32"/>
          <w:lang w:eastAsia="zh-CN"/>
        </w:rPr>
        <w:t>政府信息公开专栏</w:t>
      </w:r>
      <w:r>
        <w:rPr>
          <w:rFonts w:hint="eastAsia" w:ascii="仿宋" w:hAnsi="仿宋" w:eastAsia="仿宋" w:cs="仿宋"/>
          <w:i w:val="0"/>
          <w:caps w:val="0"/>
          <w:color w:val="333333"/>
          <w:spacing w:val="0"/>
          <w:sz w:val="32"/>
          <w:szCs w:val="32"/>
        </w:rPr>
        <w:t>下载。如对本年度报告有疑问，请与自治区统计局办公室联系（电话：0471-6945924，电子邮箱：</w:t>
      </w:r>
      <w:r>
        <w:rPr>
          <w:rFonts w:hint="eastAsia" w:ascii="仿宋" w:hAnsi="仿宋" w:eastAsia="仿宋" w:cs="仿宋"/>
          <w:i w:val="0"/>
          <w:caps w:val="0"/>
          <w:color w:val="333333"/>
          <w:spacing w:val="0"/>
          <w:sz w:val="32"/>
          <w:szCs w:val="32"/>
        </w:rPr>
        <w:fldChar w:fldCharType="begin"/>
      </w:r>
      <w:r>
        <w:rPr>
          <w:rFonts w:hint="eastAsia" w:ascii="仿宋" w:hAnsi="仿宋" w:eastAsia="仿宋" w:cs="仿宋"/>
          <w:i w:val="0"/>
          <w:caps w:val="0"/>
          <w:color w:val="333333"/>
          <w:spacing w:val="0"/>
          <w:sz w:val="32"/>
          <w:szCs w:val="32"/>
        </w:rPr>
        <w:instrText xml:space="preserve"> HYPERLINK "mailto:nmgtjjzwgk@163.com）。" </w:instrText>
      </w:r>
      <w:r>
        <w:rPr>
          <w:rFonts w:hint="eastAsia" w:ascii="仿宋" w:hAnsi="仿宋" w:eastAsia="仿宋" w:cs="仿宋"/>
          <w:i w:val="0"/>
          <w:caps w:val="0"/>
          <w:color w:val="333333"/>
          <w:spacing w:val="0"/>
          <w:sz w:val="32"/>
          <w:szCs w:val="32"/>
        </w:rPr>
        <w:fldChar w:fldCharType="separate"/>
      </w:r>
      <w:r>
        <w:rPr>
          <w:rStyle w:val="5"/>
          <w:rFonts w:hint="eastAsia" w:ascii="仿宋" w:hAnsi="仿宋" w:eastAsia="仿宋" w:cs="仿宋"/>
          <w:i w:val="0"/>
          <w:caps w:val="0"/>
          <w:color w:val="333333"/>
          <w:spacing w:val="0"/>
          <w:sz w:val="32"/>
          <w:szCs w:val="32"/>
        </w:rPr>
        <w:t>nmgtjjzwgk@163.com）。</w:t>
      </w:r>
      <w:r>
        <w:rPr>
          <w:rFonts w:hint="eastAsia" w:ascii="仿宋" w:hAnsi="仿宋" w:eastAsia="仿宋" w:cs="仿宋"/>
          <w:i w:val="0"/>
          <w:caps w:val="0"/>
          <w:color w:val="333333"/>
          <w:spacing w:val="0"/>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textAlignment w:val="auto"/>
        <w:rPr>
          <w:rFonts w:hint="eastAsia" w:ascii="黑体" w:hAnsi="黑体" w:eastAsia="黑体" w:cs="黑体"/>
          <w:i w:val="0"/>
          <w:caps w:val="0"/>
          <w:color w:val="424242"/>
          <w:spacing w:val="0"/>
          <w:sz w:val="32"/>
          <w:szCs w:val="32"/>
        </w:rPr>
      </w:pPr>
      <w:r>
        <w:rPr>
          <w:rFonts w:hint="eastAsia" w:ascii="黑体" w:hAnsi="黑体" w:eastAsia="黑体" w:cs="黑体"/>
          <w:i w:val="0"/>
          <w:caps w:val="0"/>
          <w:color w:val="424242"/>
          <w:spacing w:val="0"/>
          <w:sz w:val="32"/>
          <w:szCs w:val="32"/>
        </w:rPr>
        <w:t>一、总体情况</w:t>
      </w:r>
    </w:p>
    <w:p>
      <w:pPr>
        <w:numPr>
          <w:ilvl w:val="0"/>
          <w:numId w:val="0"/>
        </w:numPr>
        <w:ind w:firstLine="64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（一）计划规划信息公开</w:t>
      </w:r>
    </w:p>
    <w:p>
      <w:pPr>
        <w:numPr>
          <w:ilvl w:val="0"/>
          <w:numId w:val="0"/>
        </w:numPr>
        <w:ind w:firstLine="640"/>
        <w:jc w:val="left"/>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2021年，自治区统计局通过门户网站公开发布《内蒙古自治区统计局2020年工作总结及2021年工作计划》《</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"http://tj.nmg.gov.cn/zfxxgk/fdzdgknr/ghjh/202105/t20210514_1496398.html" \t "http://tj.nmg.gov.cn/zfxxgk/_blank"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2020年内蒙古自治区统计局法治政府建设总结</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》《内蒙古自治区统计局2021年度法治建设工作计划》，引导本系统及全社会关心支持内蒙古统计事业发展及内蒙古统计事业法治建设进程。</w:t>
      </w:r>
    </w:p>
    <w:p>
      <w:pPr>
        <w:numPr>
          <w:ilvl w:val="0"/>
          <w:numId w:val="0"/>
        </w:numPr>
        <w:ind w:firstLine="64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（二）优化营商环境信息公开</w:t>
      </w:r>
    </w:p>
    <w:p>
      <w:pPr>
        <w:numPr>
          <w:ilvl w:val="0"/>
          <w:numId w:val="0"/>
        </w:numPr>
        <w:ind w:firstLine="64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围绕推动“四办”工作，自治区统计局分别在“蒙速办”政务服务网、蒙速办APP中接入内蒙古地区GDP信息查询、内蒙古地区人口信息查询两项数据查询便民应用。为推动市场监管规则和标准更加公开透明，自治区统计局在门户网站公布《内蒙古自治区统计行政处罚自由裁量权》规范性文件，同时进行规范性文件政策解读，准确传达自治区党委、政府优化营商环境政策信号。</w:t>
      </w:r>
    </w:p>
    <w:p>
      <w:pPr>
        <w:numPr>
          <w:ilvl w:val="0"/>
          <w:numId w:val="0"/>
        </w:numPr>
        <w:ind w:firstLine="64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（三）政策文件发布解读</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自治区统计局门户网站发布《内蒙古自治区部门统计调查项目管理办法》《内蒙古自治区旗县级、部门、工业园区、企业统计工作规范化管理办法》两个政策文件，分别以文稿和图解的形式进行解读，并同步公开了解读人姓名及联系方式，及时回应群众关切，推动解读回应扁平化。</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（四）做好发布“主阵地”，高效开展统计数据发布与解读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我</w:t>
      </w:r>
      <w:r>
        <w:rPr>
          <w:rFonts w:hint="eastAsia" w:ascii="仿宋" w:hAnsi="仿宋" w:eastAsia="仿宋" w:cs="仿宋"/>
          <w:sz w:val="32"/>
          <w:szCs w:val="32"/>
        </w:rPr>
        <w:t>局提前筹划，</w:t>
      </w:r>
      <w:r>
        <w:rPr>
          <w:rFonts w:hint="eastAsia" w:ascii="仿宋" w:hAnsi="仿宋" w:eastAsia="仿宋" w:cs="仿宋"/>
          <w:sz w:val="32"/>
          <w:szCs w:val="32"/>
          <w:lang w:eastAsia="zh-CN"/>
        </w:rPr>
        <w:t>共召开</w:t>
      </w:r>
      <w:r>
        <w:rPr>
          <w:rFonts w:hint="eastAsia" w:ascii="仿宋" w:hAnsi="仿宋" w:eastAsia="仿宋" w:cs="仿宋"/>
          <w:sz w:val="32"/>
          <w:szCs w:val="32"/>
          <w:lang w:val="en-US" w:eastAsia="zh-CN"/>
        </w:rPr>
        <w:t>6次新闻发布会。分别是</w:t>
      </w:r>
      <w:r>
        <w:rPr>
          <w:rFonts w:hint="eastAsia" w:ascii="仿宋" w:hAnsi="仿宋" w:eastAsia="仿宋" w:cs="仿宋"/>
          <w:sz w:val="32"/>
          <w:szCs w:val="32"/>
        </w:rPr>
        <w:t>2020年全年、2021年一季度、上半年及前三季度经济运行情况</w:t>
      </w:r>
      <w:r>
        <w:rPr>
          <w:rFonts w:hint="eastAsia" w:ascii="仿宋" w:hAnsi="仿宋" w:eastAsia="仿宋" w:cs="仿宋"/>
          <w:sz w:val="32"/>
          <w:szCs w:val="32"/>
          <w:lang w:eastAsia="zh-CN"/>
        </w:rPr>
        <w:t>新闻发布会，</w:t>
      </w:r>
      <w:r>
        <w:rPr>
          <w:rFonts w:hint="eastAsia" w:ascii="仿宋" w:hAnsi="仿宋" w:eastAsia="仿宋" w:cs="仿宋"/>
          <w:sz w:val="32"/>
          <w:szCs w:val="32"/>
        </w:rPr>
        <w:t>内蒙古自治区第七次全国人口普查主要数据</w:t>
      </w:r>
      <w:r>
        <w:rPr>
          <w:rFonts w:hint="eastAsia" w:ascii="仿宋" w:hAnsi="仿宋" w:eastAsia="仿宋" w:cs="仿宋"/>
          <w:sz w:val="32"/>
          <w:szCs w:val="32"/>
          <w:lang w:eastAsia="zh-CN"/>
        </w:rPr>
        <w:t>发布会，</w:t>
      </w:r>
      <w:r>
        <w:rPr>
          <w:rFonts w:hint="eastAsia" w:ascii="仿宋" w:hAnsi="仿宋" w:eastAsia="仿宋" w:cs="仿宋"/>
          <w:sz w:val="32"/>
          <w:szCs w:val="32"/>
        </w:rPr>
        <w:t>全区推进统计基层基础规范化建设工作新闻发布会。同时，</w:t>
      </w:r>
      <w:r>
        <w:rPr>
          <w:rFonts w:hint="eastAsia" w:ascii="仿宋" w:hAnsi="仿宋" w:eastAsia="仿宋" w:cs="仿宋"/>
          <w:sz w:val="32"/>
          <w:szCs w:val="32"/>
          <w:lang w:eastAsia="zh-CN"/>
        </w:rPr>
        <w:t>通过</w:t>
      </w:r>
      <w:r>
        <w:rPr>
          <w:rFonts w:hint="eastAsia" w:ascii="仿宋" w:hAnsi="仿宋" w:eastAsia="仿宋" w:cs="仿宋"/>
          <w:sz w:val="32"/>
          <w:szCs w:val="32"/>
        </w:rPr>
        <w:t>内蒙古电视台《新闻再观察》栏目组制作专访节目，向社会公众科普“七人普”相关知识，解读“七人普”数据，回应社会关切问题。</w:t>
      </w:r>
    </w:p>
    <w:p>
      <w:pPr>
        <w:numPr>
          <w:ilvl w:val="0"/>
          <w:numId w:val="0"/>
        </w:numPr>
        <w:ind w:firstLine="640"/>
        <w:jc w:val="left"/>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2021年</w:t>
      </w:r>
      <w:r>
        <w:rPr>
          <w:rFonts w:hint="eastAsia" w:ascii="仿宋" w:hAnsi="仿宋" w:eastAsia="仿宋" w:cs="仿宋"/>
          <w:sz w:val="32"/>
          <w:szCs w:val="32"/>
        </w:rPr>
        <w:t>，</w:t>
      </w:r>
      <w:r>
        <w:rPr>
          <w:rFonts w:hint="eastAsia" w:ascii="仿宋" w:hAnsi="仿宋" w:eastAsia="仿宋" w:cs="仿宋"/>
          <w:sz w:val="32"/>
          <w:szCs w:val="32"/>
          <w:lang w:val="en-US" w:eastAsia="zh-CN"/>
        </w:rPr>
        <w:t>内蒙古统计微讯</w:t>
      </w:r>
      <w:r>
        <w:rPr>
          <w:rFonts w:hint="eastAsia" w:ascii="仿宋" w:hAnsi="仿宋" w:eastAsia="仿宋" w:cs="仿宋"/>
          <w:sz w:val="32"/>
          <w:szCs w:val="32"/>
        </w:rPr>
        <w:t>共发布数据解读稿</w:t>
      </w:r>
      <w:r>
        <w:rPr>
          <w:rFonts w:hint="eastAsia" w:ascii="仿宋" w:hAnsi="仿宋" w:eastAsia="仿宋" w:cs="仿宋"/>
          <w:color w:val="auto"/>
          <w:sz w:val="32"/>
          <w:szCs w:val="32"/>
          <w:lang w:val="en-US" w:eastAsia="zh-CN"/>
        </w:rPr>
        <w:t>65</w:t>
      </w:r>
      <w:r>
        <w:rPr>
          <w:rFonts w:hint="eastAsia" w:ascii="仿宋" w:hAnsi="仿宋" w:eastAsia="仿宋" w:cs="仿宋"/>
          <w:sz w:val="32"/>
          <w:szCs w:val="32"/>
        </w:rPr>
        <w:t>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门户网站发布数据解读稿182篇</w:t>
      </w:r>
      <w:r>
        <w:rPr>
          <w:rFonts w:hint="eastAsia" w:ascii="仿宋" w:hAnsi="仿宋" w:eastAsia="仿宋" w:cs="仿宋"/>
          <w:sz w:val="32"/>
          <w:szCs w:val="32"/>
        </w:rPr>
        <w:t>。通过内蒙古广播电视台公开解读数据</w:t>
      </w:r>
      <w:r>
        <w:rPr>
          <w:rFonts w:hint="eastAsia" w:ascii="仿宋" w:hAnsi="仿宋" w:eastAsia="仿宋" w:cs="仿宋"/>
          <w:color w:val="auto"/>
          <w:sz w:val="32"/>
          <w:szCs w:val="32"/>
          <w:u w:val="none"/>
          <w:lang w:val="en-US" w:eastAsia="zh-CN"/>
        </w:rPr>
        <w:t>65</w:t>
      </w:r>
      <w:r>
        <w:rPr>
          <w:rFonts w:hint="eastAsia" w:ascii="仿宋" w:hAnsi="仿宋" w:eastAsia="仿宋" w:cs="仿宋"/>
          <w:sz w:val="32"/>
          <w:szCs w:val="32"/>
        </w:rPr>
        <w:t>次，有效为社会答疑解惑。</w:t>
      </w:r>
      <w:r>
        <w:rPr>
          <w:rFonts w:hint="eastAsia" w:ascii="仿宋" w:hAnsi="仿宋" w:eastAsia="仿宋" w:cs="仿宋"/>
          <w:sz w:val="32"/>
          <w:szCs w:val="32"/>
          <w:lang w:eastAsia="zh-CN"/>
        </w:rPr>
        <w:t>政务服务局政策解读报备情况通报显示，自治区统计局</w:t>
      </w:r>
      <w:r>
        <w:rPr>
          <w:rFonts w:hint="eastAsia" w:ascii="仿宋" w:hAnsi="仿宋" w:eastAsia="仿宋" w:cs="仿宋"/>
          <w:sz w:val="32"/>
          <w:szCs w:val="32"/>
          <w:lang w:val="en-US" w:eastAsia="zh-CN"/>
        </w:rPr>
        <w:t>2020年政策解读数量位列全区各部门第二位，2021年前三季度政策解读数量均位列全区各部门第一位。内蒙古统计综合数据平台，主动更新发布月度、季度、年度的全区及分盟市、旗县统计数据以及2002-2021年内蒙古统计年鉴，方便群众查询。</w:t>
      </w:r>
    </w:p>
    <w:p>
      <w:pPr>
        <w:numPr>
          <w:ilvl w:val="0"/>
          <w:numId w:val="0"/>
        </w:numPr>
        <w:ind w:firstLine="64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（五）积极开展互动交流，有效推动公众参与</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2021年，自治区统计局门户网站通过征集调查栏目发布3次征求意见公告开展意见征集，并及时反馈意见征集结果。通过统计咨询、领导信箱等栏目，答复交流</w:t>
      </w:r>
      <w:r>
        <w:rPr>
          <w:rFonts w:hint="eastAsia" w:ascii="仿宋" w:hAnsi="仿宋" w:eastAsia="仿宋" w:cs="仿宋"/>
          <w:color w:val="auto"/>
          <w:sz w:val="32"/>
          <w:szCs w:val="32"/>
          <w:u w:val="none"/>
          <w:lang w:val="en-US" w:eastAsia="zh-CN"/>
        </w:rPr>
        <w:t>320</w:t>
      </w:r>
      <w:r>
        <w:rPr>
          <w:rFonts w:hint="eastAsia" w:ascii="仿宋" w:hAnsi="仿宋" w:eastAsia="仿宋" w:cs="仿宋"/>
          <w:sz w:val="32"/>
          <w:szCs w:val="32"/>
          <w:lang w:val="en-US" w:eastAsia="zh-CN"/>
        </w:rPr>
        <w:t>条，解答来自社会各界的统计咨询，满足公众对统计资料、统计数据的需求。</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（六）监督保障</w:t>
      </w:r>
    </w:p>
    <w:p>
      <w:pPr>
        <w:numPr>
          <w:ilvl w:val="0"/>
          <w:numId w:val="0"/>
        </w:numPr>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仿宋"/>
          <w:sz w:val="32"/>
          <w:szCs w:val="32"/>
          <w:lang w:val="en-US" w:eastAsia="zh-CN"/>
        </w:rPr>
        <w:t>2021年，自治区统计局高度重视政务公开工作，明确夏荣华副局长分管政务公开工作，将政务公开工作纳入绩效考核体系。2021年1月份在自治区统计局门户网站政府信息公开专栏及时发布了《</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"http://tj.nmg.gov.cn/zfxxgk/zfxxgknb/202105/t20210514_1496499.html" \t "http://tj.nmg.gov.cn//zfxxgk/_blank"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内蒙古自治区统计局2020年政府信息公开工作年度报告</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》和《2021年内蒙古自治区统计局网站工作年度报表》。</w:t>
      </w:r>
    </w:p>
    <w:p>
      <w:pPr>
        <w:pStyle w:val="2"/>
        <w:keepNext w:val="0"/>
        <w:keepLines w:val="0"/>
        <w:widowControl/>
        <w:suppressLineNumbers w:val="0"/>
        <w:spacing w:before="0" w:beforeAutospacing="0" w:after="375" w:afterAutospacing="0"/>
        <w:ind w:left="0" w:right="0" w:firstLine="0"/>
        <w:rPr>
          <w:rFonts w:hint="eastAsia" w:ascii="黑体" w:hAnsi="黑体" w:eastAsia="黑体" w:cs="黑体"/>
          <w:b w:val="0"/>
          <w:bCs w:val="0"/>
          <w:i w:val="0"/>
          <w:caps w:val="0"/>
          <w:color w:val="424242"/>
          <w:spacing w:val="0"/>
          <w:sz w:val="32"/>
          <w:szCs w:val="32"/>
        </w:rPr>
      </w:pPr>
      <w:r>
        <w:rPr>
          <w:rFonts w:hint="eastAsia" w:ascii="仿宋" w:hAnsi="仿宋" w:eastAsia="仿宋" w:cs="仿宋"/>
          <w:i w:val="0"/>
          <w:caps w:val="0"/>
          <w:color w:val="424242"/>
          <w:spacing w:val="0"/>
          <w:sz w:val="32"/>
          <w:szCs w:val="32"/>
        </w:rPr>
        <w:t>  </w:t>
      </w:r>
      <w:r>
        <w:rPr>
          <w:rFonts w:hint="eastAsia" w:ascii="黑体" w:hAnsi="黑体" w:eastAsia="黑体" w:cs="黑体"/>
          <w:b w:val="0"/>
          <w:bCs w:val="0"/>
          <w:i w:val="0"/>
          <w:caps w:val="0"/>
          <w:color w:val="424242"/>
          <w:spacing w:val="0"/>
          <w:sz w:val="32"/>
          <w:szCs w:val="32"/>
        </w:rPr>
        <w:t>二、主动公开政府信息情况</w:t>
      </w:r>
    </w:p>
    <w:p>
      <w:pPr>
        <w:pStyle w:val="2"/>
        <w:keepNext w:val="0"/>
        <w:keepLines w:val="0"/>
        <w:widowControl/>
        <w:suppressLineNumbers w:val="0"/>
        <w:spacing w:before="0" w:beforeAutospacing="0" w:after="375" w:afterAutospacing="0"/>
        <w:ind w:left="0" w:right="0" w:firstLine="0"/>
        <w:rPr>
          <w:rFonts w:hint="eastAsia" w:ascii="黑体" w:hAnsi="黑体" w:eastAsia="黑体" w:cs="黑体"/>
          <w:b w:val="0"/>
          <w:bCs w:val="0"/>
          <w:i w:val="0"/>
          <w:caps w:val="0"/>
          <w:color w:val="424242"/>
          <w:spacing w:val="0"/>
          <w:sz w:val="32"/>
          <w:szCs w:val="32"/>
        </w:rPr>
      </w:pPr>
    </w:p>
    <w:tbl>
      <w:tblPr>
        <w:tblStyle w:val="3"/>
        <w:tblW w:w="9735" w:type="dxa"/>
        <w:jc w:val="center"/>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0"/>
        <w:gridCol w:w="2430"/>
        <w:gridCol w:w="243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信息内容</w:t>
            </w:r>
          </w:p>
        </w:tc>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本年制发件数</w:t>
            </w:r>
          </w:p>
        </w:tc>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本年废止件数</w:t>
            </w:r>
          </w:p>
        </w:tc>
        <w:tc>
          <w:tcPr>
            <w:tcW w:w="244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规章</w:t>
            </w:r>
          </w:p>
        </w:tc>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244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行政规范性文件</w:t>
            </w:r>
          </w:p>
        </w:tc>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244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信息内容</w:t>
            </w:r>
          </w:p>
        </w:tc>
        <w:tc>
          <w:tcPr>
            <w:tcW w:w="73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行政许可</w:t>
            </w:r>
          </w:p>
        </w:tc>
        <w:tc>
          <w:tcPr>
            <w:tcW w:w="73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信息内容</w:t>
            </w:r>
          </w:p>
        </w:tc>
        <w:tc>
          <w:tcPr>
            <w:tcW w:w="73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行政处罚</w:t>
            </w:r>
          </w:p>
        </w:tc>
        <w:tc>
          <w:tcPr>
            <w:tcW w:w="73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行政强制</w:t>
            </w:r>
          </w:p>
        </w:tc>
        <w:tc>
          <w:tcPr>
            <w:tcW w:w="73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信息内容</w:t>
            </w:r>
          </w:p>
        </w:tc>
        <w:tc>
          <w:tcPr>
            <w:tcW w:w="730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4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行政事业性收费</w:t>
            </w:r>
          </w:p>
        </w:tc>
        <w:tc>
          <w:tcPr>
            <w:tcW w:w="730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bl>
    <w:p>
      <w:pPr>
        <w:pStyle w:val="2"/>
        <w:keepNext w:val="0"/>
        <w:keepLines w:val="0"/>
        <w:widowControl/>
        <w:numPr>
          <w:ilvl w:val="0"/>
          <w:numId w:val="1"/>
        </w:numPr>
        <w:suppressLineNumbers w:val="0"/>
        <w:spacing w:before="0" w:beforeAutospacing="0" w:after="375" w:afterAutospacing="0"/>
        <w:ind w:left="0" w:right="0" w:firstLine="0"/>
        <w:rPr>
          <w:rFonts w:hint="eastAsia" w:ascii="黑体" w:hAnsi="黑体" w:eastAsia="黑体" w:cs="黑体"/>
          <w:i w:val="0"/>
          <w:caps w:val="0"/>
          <w:color w:val="424242"/>
          <w:spacing w:val="0"/>
          <w:sz w:val="32"/>
          <w:szCs w:val="32"/>
        </w:rPr>
      </w:pPr>
      <w:r>
        <w:rPr>
          <w:rFonts w:hint="eastAsia" w:ascii="黑体" w:hAnsi="黑体" w:eastAsia="黑体" w:cs="黑体"/>
          <w:i w:val="0"/>
          <w:caps w:val="0"/>
          <w:color w:val="424242"/>
          <w:spacing w:val="0"/>
          <w:sz w:val="32"/>
          <w:szCs w:val="32"/>
        </w:rPr>
        <w:t>收到和处理政府信息公开申请情况</w:t>
      </w:r>
    </w:p>
    <w:p>
      <w:pPr>
        <w:pStyle w:val="2"/>
        <w:keepNext w:val="0"/>
        <w:keepLines w:val="0"/>
        <w:widowControl/>
        <w:numPr>
          <w:numId w:val="0"/>
        </w:numPr>
        <w:suppressLineNumbers w:val="0"/>
        <w:spacing w:before="0" w:beforeAutospacing="0" w:after="375" w:afterAutospacing="0"/>
        <w:ind w:leftChars="0" w:right="0" w:rightChars="0"/>
        <w:rPr>
          <w:rFonts w:hint="eastAsia" w:ascii="黑体" w:hAnsi="黑体" w:eastAsia="黑体" w:cs="黑体"/>
          <w:i w:val="0"/>
          <w:caps w:val="0"/>
          <w:color w:val="424242"/>
          <w:spacing w:val="0"/>
          <w:sz w:val="32"/>
          <w:szCs w:val="32"/>
        </w:rPr>
      </w:pPr>
    </w:p>
    <w:p>
      <w:pPr>
        <w:pStyle w:val="2"/>
        <w:keepNext w:val="0"/>
        <w:keepLines w:val="0"/>
        <w:widowControl/>
        <w:numPr>
          <w:numId w:val="0"/>
        </w:numPr>
        <w:suppressLineNumbers w:val="0"/>
        <w:spacing w:before="0" w:beforeAutospacing="0" w:after="375" w:afterAutospacing="0"/>
        <w:ind w:leftChars="0" w:right="0" w:rightChars="0"/>
        <w:rPr>
          <w:rFonts w:hint="eastAsia" w:ascii="黑体" w:hAnsi="黑体" w:eastAsia="黑体" w:cs="黑体"/>
          <w:i w:val="0"/>
          <w:caps w:val="0"/>
          <w:color w:val="424242"/>
          <w:spacing w:val="0"/>
          <w:sz w:val="32"/>
          <w:szCs w:val="32"/>
        </w:rPr>
      </w:pPr>
    </w:p>
    <w:p>
      <w:pPr>
        <w:pStyle w:val="2"/>
        <w:keepNext w:val="0"/>
        <w:keepLines w:val="0"/>
        <w:widowControl/>
        <w:numPr>
          <w:numId w:val="0"/>
        </w:numPr>
        <w:suppressLineNumbers w:val="0"/>
        <w:spacing w:before="0" w:beforeAutospacing="0" w:after="375" w:afterAutospacing="0"/>
        <w:ind w:leftChars="0" w:right="0" w:rightChars="0"/>
        <w:rPr>
          <w:rFonts w:hint="eastAsia" w:ascii="黑体" w:hAnsi="黑体" w:eastAsia="黑体" w:cs="黑体"/>
          <w:i w:val="0"/>
          <w:caps w:val="0"/>
          <w:color w:val="424242"/>
          <w:spacing w:val="0"/>
          <w:sz w:val="32"/>
          <w:szCs w:val="32"/>
        </w:rPr>
      </w:pPr>
    </w:p>
    <w:tbl>
      <w:tblPr>
        <w:tblStyle w:val="3"/>
        <w:tblW w:w="9750" w:type="dxa"/>
        <w:jc w:val="center"/>
        <w:tblInd w:w="-6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77"/>
        <w:gridCol w:w="960"/>
        <w:gridCol w:w="3315"/>
        <w:gridCol w:w="709"/>
        <w:gridCol w:w="709"/>
        <w:gridCol w:w="709"/>
        <w:gridCol w:w="709"/>
        <w:gridCol w:w="709"/>
        <w:gridCol w:w="709"/>
        <w:gridCol w:w="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5052"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（本列数据的勾稽关系为：第一项加第二项之和，等于第三项加第四项之和）</w:t>
            </w:r>
          </w:p>
        </w:tc>
        <w:tc>
          <w:tcPr>
            <w:tcW w:w="4698"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052"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709"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自然人</w:t>
            </w:r>
          </w:p>
        </w:tc>
        <w:tc>
          <w:tcPr>
            <w:tcW w:w="354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法人或其他组织</w:t>
            </w:r>
          </w:p>
        </w:tc>
        <w:tc>
          <w:tcPr>
            <w:tcW w:w="44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052"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70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商业</w:t>
            </w:r>
          </w:p>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企业</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科研</w:t>
            </w:r>
          </w:p>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机构</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社会公益组织</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法律服务机构</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其他</w:t>
            </w:r>
          </w:p>
        </w:tc>
        <w:tc>
          <w:tcPr>
            <w:tcW w:w="44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052"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一、本年新收政府信息公开申请数量</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43</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052"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二、上年结转政府信息公开申请数量</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三、本年度办理结果</w:t>
            </w:r>
          </w:p>
        </w:tc>
        <w:tc>
          <w:tcPr>
            <w:tcW w:w="427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（一）予以公开</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16</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427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（二）部分公开（区分处理的，只计这一情形，不计其他情形）</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12</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（三）不予公开</w:t>
            </w: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1.属于国家秘密</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2.其他法律行政法规禁止公开</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3.危及“三安全一稳定”</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4.保护第三方合法权益</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5.属于三类内部事务信息</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6.属于四类过程性信息</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7.属于行政执法案卷</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8.属于行政查询事项</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（四）无法提供</w:t>
            </w: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1.本机关不掌握相关政府信息</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2.没有现成信息需要另行制作</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3.补正后申请内容仍不明确</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（五）不予处理</w:t>
            </w: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1.信访举报投诉类申请</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2.重复申请</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3.要求提供公开出版物</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4.无正当理由大量反复申请</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5.要求行政机关确认或重新出具已获取信息</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（六）其他处理</w:t>
            </w: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1.申请人无正当理由逾期不补正、行政机关不再处理其政府信息公开申请</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2.申请人逾期未按收费通知要求缴纳费用、行政机关不再处理其政府信息公开申请</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9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33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3.其他</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7"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jc w:val="center"/>
              <w:rPr>
                <w:rFonts w:hint="eastAsia" w:asciiTheme="minorEastAsia" w:hAnsiTheme="minorEastAsia" w:eastAsiaTheme="minorEastAsia" w:cstheme="minorEastAsia"/>
                <w:i w:val="0"/>
                <w:caps w:val="0"/>
                <w:color w:val="000000"/>
                <w:spacing w:val="0"/>
                <w:sz w:val="28"/>
                <w:szCs w:val="28"/>
              </w:rPr>
            </w:pPr>
          </w:p>
        </w:tc>
        <w:tc>
          <w:tcPr>
            <w:tcW w:w="427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（七）总计</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42</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052"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四、结转下年度继续办理</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0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44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center"/>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1</w:t>
            </w:r>
          </w:p>
        </w:tc>
      </w:tr>
    </w:tbl>
    <w:p>
      <w:pPr>
        <w:pStyle w:val="2"/>
        <w:keepNext w:val="0"/>
        <w:keepLines w:val="0"/>
        <w:widowControl/>
        <w:suppressLineNumbers w:val="0"/>
        <w:spacing w:before="0" w:beforeAutospacing="0" w:after="375" w:afterAutospacing="0"/>
        <w:ind w:left="0" w:right="0" w:firstLine="0"/>
        <w:rPr>
          <w:rFonts w:hint="eastAsia" w:ascii="黑体" w:hAnsi="黑体" w:eastAsia="黑体" w:cs="黑体"/>
          <w:i w:val="0"/>
          <w:caps w:val="0"/>
          <w:color w:val="424242"/>
          <w:spacing w:val="0"/>
          <w:sz w:val="32"/>
          <w:szCs w:val="32"/>
        </w:rPr>
      </w:pPr>
    </w:p>
    <w:p>
      <w:pPr>
        <w:pStyle w:val="2"/>
        <w:keepNext w:val="0"/>
        <w:keepLines w:val="0"/>
        <w:widowControl/>
        <w:suppressLineNumbers w:val="0"/>
        <w:spacing w:before="0" w:beforeAutospacing="0" w:after="375" w:afterAutospacing="0"/>
        <w:ind w:left="0" w:right="0" w:firstLine="0"/>
        <w:rPr>
          <w:rFonts w:hint="eastAsia" w:asciiTheme="minorEastAsia" w:hAnsiTheme="minorEastAsia" w:eastAsiaTheme="minorEastAsia" w:cstheme="minorEastAsia"/>
          <w:i w:val="0"/>
          <w:caps w:val="0"/>
          <w:color w:val="424242"/>
          <w:spacing w:val="0"/>
          <w:sz w:val="28"/>
          <w:szCs w:val="28"/>
        </w:rPr>
      </w:pPr>
      <w:bookmarkStart w:id="0" w:name="_GoBack"/>
      <w:bookmarkEnd w:id="0"/>
      <w:r>
        <w:rPr>
          <w:rFonts w:hint="eastAsia" w:ascii="黑体" w:hAnsi="黑体" w:eastAsia="黑体" w:cs="黑体"/>
          <w:i w:val="0"/>
          <w:caps w:val="0"/>
          <w:color w:val="424242"/>
          <w:spacing w:val="0"/>
          <w:sz w:val="32"/>
          <w:szCs w:val="32"/>
        </w:rPr>
        <w:t>四、政府信息公开行政复议、行政诉讼情况</w:t>
      </w:r>
    </w:p>
    <w:tbl>
      <w:tblPr>
        <w:tblStyle w:val="3"/>
        <w:tblW w:w="9750" w:type="dxa"/>
        <w:jc w:val="center"/>
        <w:tblInd w:w="-6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645"/>
        <w:gridCol w:w="645"/>
        <w:gridCol w:w="645"/>
        <w:gridCol w:w="645"/>
        <w:gridCol w:w="645"/>
        <w:gridCol w:w="645"/>
        <w:gridCol w:w="645"/>
        <w:gridCol w:w="645"/>
        <w:gridCol w:w="645"/>
        <w:gridCol w:w="645"/>
        <w:gridCol w:w="645"/>
        <w:gridCol w:w="645"/>
        <w:gridCol w:w="64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22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行政复议</w:t>
            </w:r>
          </w:p>
        </w:tc>
        <w:tc>
          <w:tcPr>
            <w:tcW w:w="6525"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结果维持</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结果</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纠正</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其他</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结果</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尚未</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审结</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总计</w:t>
            </w:r>
          </w:p>
        </w:tc>
        <w:tc>
          <w:tcPr>
            <w:tcW w:w="322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未经复议直接起诉</w:t>
            </w:r>
          </w:p>
        </w:tc>
        <w:tc>
          <w:tcPr>
            <w:tcW w:w="33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i w:val="0"/>
                <w:caps w:val="0"/>
                <w:color w:val="000000"/>
                <w:spacing w:val="0"/>
                <w:sz w:val="28"/>
                <w:szCs w:val="28"/>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i w:val="0"/>
                <w:caps w:val="0"/>
                <w:color w:val="000000"/>
                <w:spacing w:val="0"/>
                <w:sz w:val="28"/>
                <w:szCs w:val="28"/>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i w:val="0"/>
                <w:caps w:val="0"/>
                <w:color w:val="000000"/>
                <w:spacing w:val="0"/>
                <w:sz w:val="28"/>
                <w:szCs w:val="28"/>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i w:val="0"/>
                <w:caps w:val="0"/>
                <w:color w:val="000000"/>
                <w:spacing w:val="0"/>
                <w:sz w:val="28"/>
                <w:szCs w:val="28"/>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Theme="minorEastAsia" w:hAnsiTheme="minorEastAsia" w:eastAsiaTheme="minorEastAsia" w:cstheme="minorEastAsia"/>
                <w:i w:val="0"/>
                <w:caps w:val="0"/>
                <w:color w:val="000000"/>
                <w:spacing w:val="0"/>
                <w:sz w:val="28"/>
                <w:szCs w:val="28"/>
              </w:rPr>
            </w:pP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结果</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维持</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结果</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纠正</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其他</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结果</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尚未</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审结</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总计</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结果</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维持</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结果</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纠正</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其他</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结果</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尚未</w:t>
            </w:r>
            <w:r>
              <w:rPr>
                <w:rFonts w:hint="eastAsia" w:asciiTheme="minorEastAsia" w:hAnsiTheme="minorEastAsia" w:eastAsiaTheme="minorEastAsia" w:cstheme="minorEastAsia"/>
                <w:i w:val="0"/>
                <w:caps w:val="0"/>
                <w:color w:val="424242"/>
                <w:spacing w:val="0"/>
                <w:sz w:val="28"/>
                <w:szCs w:val="28"/>
              </w:rPr>
              <w:br w:type="textWrapping"/>
            </w:r>
            <w:r>
              <w:rPr>
                <w:rFonts w:hint="eastAsia" w:asciiTheme="minorEastAsia" w:hAnsiTheme="minorEastAsia" w:eastAsiaTheme="minorEastAsia" w:cstheme="minorEastAsia"/>
                <w:i w:val="0"/>
                <w:caps w:val="0"/>
                <w:color w:val="424242"/>
                <w:spacing w:val="0"/>
                <w:sz w:val="28"/>
                <w:szCs w:val="28"/>
              </w:rPr>
              <w:t>审结</w:t>
            </w:r>
          </w:p>
        </w:tc>
        <w:tc>
          <w:tcPr>
            <w:tcW w:w="7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i w:val="0"/>
                <w:caps w:val="0"/>
                <w:color w:val="424242"/>
                <w:spacing w:val="0"/>
                <w:sz w:val="28"/>
                <w:szCs w:val="2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 xml:space="preserve"> 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c>
          <w:tcPr>
            <w:tcW w:w="7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kern w:val="2"/>
          <w:sz w:val="32"/>
          <w:szCs w:val="32"/>
          <w:lang w:val="en-US" w:eastAsia="zh-CN" w:bidi="ar-SA"/>
        </w:rPr>
      </w:pPr>
      <w:r>
        <w:rPr>
          <w:rFonts w:hint="eastAsia" w:asciiTheme="minorEastAsia" w:hAnsiTheme="minorEastAsia" w:eastAsiaTheme="minorEastAsia" w:cstheme="minorEastAsia"/>
          <w:i w:val="0"/>
          <w:caps w:val="0"/>
          <w:color w:val="424242"/>
          <w:spacing w:val="0"/>
          <w:sz w:val="28"/>
          <w:szCs w:val="28"/>
        </w:rPr>
        <w:t>  </w:t>
      </w:r>
      <w:r>
        <w:rPr>
          <w:rFonts w:hint="eastAsia" w:ascii="黑体" w:hAnsi="黑体" w:eastAsia="黑体" w:cs="黑体"/>
          <w:kern w:val="2"/>
          <w:sz w:val="32"/>
          <w:szCs w:val="32"/>
          <w:lang w:val="en-US" w:eastAsia="zh-CN" w:bidi="ar-SA"/>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《2021年内蒙古自治区政务公开和政府网站（政务新媒体）第三方评估监测报告》提出三点问题，我局均已整改。一是</w:t>
      </w:r>
      <w:r>
        <w:rPr>
          <w:rFonts w:hint="eastAsia" w:ascii="Times New Roman" w:hAnsi="Times New Roman" w:eastAsia="仿宋_GB2312" w:cs="仿宋_GB2312"/>
          <w:sz w:val="32"/>
          <w:szCs w:val="32"/>
          <w:highlight w:val="none"/>
          <w:lang w:val="en-US" w:eastAsia="zh-CN"/>
        </w:rPr>
        <w:t>政府信息公开指南中线上主动公开渠道不全，缺少政务新媒体。我局已修改政府信息公开指南，在主动公开线上渠道中增加“</w:t>
      </w:r>
      <w:r>
        <w:rPr>
          <w:rFonts w:ascii="仿宋" w:hAnsi="仿宋" w:eastAsia="仿宋" w:cs="仿宋"/>
          <w:i w:val="0"/>
          <w:caps w:val="0"/>
          <w:color w:val="333333"/>
          <w:spacing w:val="0"/>
          <w:sz w:val="31"/>
          <w:szCs w:val="31"/>
          <w:shd w:val="clear" w:fill="FFFFFF"/>
        </w:rPr>
        <w:t>内蒙古统计微讯</w:t>
      </w:r>
      <w:r>
        <w:rPr>
          <w:rFonts w:hint="eastAsia" w:ascii="Times New Roman" w:hAnsi="Times New Roman" w:eastAsia="仿宋_GB2312" w:cs="仿宋_GB2312"/>
          <w:sz w:val="32"/>
          <w:szCs w:val="32"/>
          <w:highlight w:val="none"/>
          <w:lang w:val="en-US" w:eastAsia="zh-CN"/>
        </w:rPr>
        <w:t>”微信公众号（nmgtjwx）。二是内蒙古自治区统计普查中心、内蒙古自治区城市经济统计监测中心等所属事业单位未公开内设机构设置信息，已进行增加完善。三是2020年政府信息公开工作年度报告总体情况中缺少监督保障信息，已进行增加完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六、其他需要报告的事项</w:t>
      </w:r>
    </w:p>
    <w:p>
      <w:pPr>
        <w:ind w:firstLine="620"/>
        <w:rPr>
          <w:rFonts w:hint="default" w:ascii="Times New Roman" w:hAnsi="Times New Roman" w:eastAsia="仿宋_GB2312" w:cs="仿宋_GB2312"/>
          <w:kern w:val="0"/>
          <w:sz w:val="32"/>
          <w:szCs w:val="32"/>
          <w:highlight w:val="none"/>
          <w:lang w:val="en-US" w:eastAsia="zh-CN" w:bidi="ar"/>
        </w:rPr>
      </w:pPr>
      <w:r>
        <w:rPr>
          <w:rFonts w:hint="eastAsia" w:ascii="Times New Roman" w:hAnsi="Times New Roman" w:eastAsia="仿宋_GB2312" w:cs="仿宋_GB2312"/>
          <w:kern w:val="0"/>
          <w:sz w:val="32"/>
          <w:szCs w:val="32"/>
          <w:highlight w:val="none"/>
          <w:lang w:val="en-US" w:eastAsia="zh-CN" w:bidi="ar"/>
        </w:rPr>
        <w:t>2021年，自治区统计局依申请公开处理43件，未出现符合收取信息处理费的情况，未收取信息处理费。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7F5B4"/>
    <w:multiLevelType w:val="singleLevel"/>
    <w:tmpl w:val="DB07F5B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2594C"/>
    <w:rsid w:val="00843F84"/>
    <w:rsid w:val="12E51DB5"/>
    <w:rsid w:val="1F836817"/>
    <w:rsid w:val="27E50FEC"/>
    <w:rsid w:val="292A4F5C"/>
    <w:rsid w:val="29E84BBB"/>
    <w:rsid w:val="2A982F4F"/>
    <w:rsid w:val="2CA2594C"/>
    <w:rsid w:val="325126ED"/>
    <w:rsid w:val="368D4FD4"/>
    <w:rsid w:val="45167C66"/>
    <w:rsid w:val="60D94E66"/>
    <w:rsid w:val="6415591B"/>
    <w:rsid w:val="7386315D"/>
    <w:rsid w:val="78233137"/>
    <w:rsid w:val="79A35F76"/>
    <w:rsid w:val="7A1B47A8"/>
    <w:rsid w:val="7CD14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2022-01-24T03:25:00Z</dcterms:created>
  <dc:creator>tjj</dc:creator>
  <cp:lastModifiedBy>tjj</cp:lastModifiedBy>
  <cp:lastPrinted>2022-01-25T09:10:00Z</cp:lastPrinted>
  <dcterms:modified xsi:type="dcterms:W3CDTF">2022-01-27T01:55:38Z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